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黑体" w:eastAsia="黑体"/>
          <w:kern w:val="0"/>
          <w:sz w:val="36"/>
          <w:szCs w:val="36"/>
        </w:rPr>
        <w:t>附件</w:t>
      </w:r>
      <w:r>
        <w:rPr>
          <w:rFonts w:ascii="Times New Roman" w:hAnsi="Times New Roman" w:eastAsia="黑体"/>
          <w:kern w:val="0"/>
          <w:sz w:val="36"/>
          <w:szCs w:val="36"/>
        </w:rPr>
        <w:t>1</w:t>
      </w:r>
    </w:p>
    <w:p>
      <w:pPr>
        <w:widowControl/>
        <w:spacing w:line="360" w:lineRule="auto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申请补充耕地国家统筹情况表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申请单位：  省（市）              计量单位：公顷、公斤、万元</w:t>
      </w:r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080"/>
        <w:gridCol w:w="1440"/>
        <w:gridCol w:w="18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总 体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耕地数量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水田规模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粮食产能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规划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期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剩余年限内资源情况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补充耕地潜力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建设占用耕地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补充耕地缺口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补充耕地国家统筹规模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使用情况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上年度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批准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统筹规模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（含结转指标）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目前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剩余统筹规模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本年度申请补充耕地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国家统筹规模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其中：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（直辖市填报）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城市建设需求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基础设施建设需求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其中：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（省填报）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重大建设项目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需求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应缴纳跨省域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补充耕地资金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合计：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重 大 建 设 项 目 清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占用耕地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占用水田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规模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损失粮食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（重大建设项目清单可另附页）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B79AF"/>
    <w:rsid w:val="3A9B79A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2018-08-01T02:01:00Z</dcterms:created>
  <dc:creator>侯一俊</dc:creator>
  <cp:lastModifiedBy>侯一俊</cp:lastModifiedBy>
  <dcterms:modified xsi:type="dcterms:W3CDTF">2018-08-01T02:02:24Z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