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</w:rPr>
      </w:pPr>
      <w:r>
        <w:rPr>
          <w:rFonts w:eastAsia="仿宋_GB2312"/>
          <w:sz w:val="32"/>
        </w:rPr>
        <w:t xml:space="preserve"> </w:t>
      </w:r>
      <w:bookmarkStart w:id="0" w:name="_GoBack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  <w:bookmarkEnd w:id="0"/>
    </w:p>
    <w:p>
      <w:pPr>
        <w:rPr>
          <w:rFonts w:hint="eastAsia" w:eastAsia="黑体"/>
          <w:sz w:val="32"/>
          <w:szCs w:val="32"/>
        </w:rPr>
      </w:pPr>
    </w:p>
    <w:p>
      <w:pPr>
        <w:ind w:firstLine="181" w:firstLineChars="50"/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涉及占用永久基本农田的重大建设项目</w:t>
      </w:r>
    </w:p>
    <w:p>
      <w:pPr>
        <w:ind w:firstLine="181" w:firstLineChars="5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用地预审材料目录</w:t>
      </w:r>
    </w:p>
    <w:tbl>
      <w:tblPr>
        <w:tblStyle w:val="3"/>
        <w:tblW w:w="878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5024"/>
        <w:gridCol w:w="1763"/>
        <w:gridCol w:w="11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844" w:type="dxa"/>
            <w:shd w:val="clear" w:color="auto" w:fill="auto"/>
            <w:vAlign w:val="center"/>
          </w:tcPr>
          <w:p>
            <w:pPr>
              <w:spacing w:line="440" w:lineRule="exact"/>
              <w:rPr>
                <w:rFonts w:eastAsia="黑体"/>
                <w:caps/>
                <w:sz w:val="28"/>
                <w:szCs w:val="28"/>
              </w:rPr>
            </w:pPr>
            <w:r>
              <w:rPr>
                <w:rFonts w:eastAsia="黑体"/>
                <w:caps/>
                <w:sz w:val="28"/>
                <w:szCs w:val="28"/>
              </w:rPr>
              <w:t>序号</w:t>
            </w:r>
          </w:p>
        </w:tc>
        <w:tc>
          <w:tcPr>
            <w:tcW w:w="502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aps/>
                <w:sz w:val="28"/>
                <w:szCs w:val="28"/>
              </w:rPr>
            </w:pPr>
            <w:r>
              <w:rPr>
                <w:rFonts w:eastAsia="黑体"/>
                <w:caps/>
                <w:sz w:val="28"/>
                <w:szCs w:val="28"/>
              </w:rPr>
              <w:t>材 料 名 称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aps/>
                <w:sz w:val="28"/>
                <w:szCs w:val="28"/>
              </w:rPr>
            </w:pPr>
            <w:r>
              <w:rPr>
                <w:rFonts w:eastAsia="黑体"/>
                <w:caps/>
                <w:sz w:val="28"/>
                <w:szCs w:val="28"/>
              </w:rPr>
              <w:t>电子化</w:t>
            </w:r>
          </w:p>
          <w:p>
            <w:pPr>
              <w:spacing w:line="440" w:lineRule="exact"/>
              <w:jc w:val="center"/>
              <w:rPr>
                <w:rFonts w:eastAsia="黑体"/>
                <w:caps/>
                <w:sz w:val="28"/>
                <w:szCs w:val="28"/>
              </w:rPr>
            </w:pPr>
            <w:r>
              <w:rPr>
                <w:rFonts w:eastAsia="黑体"/>
                <w:caps/>
                <w:sz w:val="28"/>
                <w:szCs w:val="28"/>
              </w:rPr>
              <w:t>格式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aps/>
                <w:sz w:val="28"/>
                <w:szCs w:val="28"/>
              </w:rPr>
            </w:pPr>
            <w:r>
              <w:rPr>
                <w:rFonts w:eastAsia="黑体"/>
                <w:caps/>
                <w:sz w:val="28"/>
                <w:szCs w:val="28"/>
              </w:rPr>
              <w:t>需纸质</w:t>
            </w:r>
          </w:p>
          <w:p>
            <w:pPr>
              <w:spacing w:line="440" w:lineRule="exact"/>
              <w:jc w:val="center"/>
              <w:rPr>
                <w:rFonts w:eastAsia="黑体"/>
                <w:caps/>
                <w:sz w:val="28"/>
                <w:szCs w:val="28"/>
              </w:rPr>
            </w:pPr>
            <w:r>
              <w:rPr>
                <w:rFonts w:eastAsia="黑体"/>
                <w:caps/>
                <w:sz w:val="28"/>
                <w:szCs w:val="28"/>
              </w:rPr>
              <w:t>材料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exact"/>
          <w:jc w:val="center"/>
        </w:trPr>
        <w:tc>
          <w:tcPr>
            <w:tcW w:w="844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</w:t>
            </w:r>
          </w:p>
        </w:tc>
        <w:tc>
          <w:tcPr>
            <w:tcW w:w="5024" w:type="dxa"/>
            <w:shd w:val="clear" w:color="auto" w:fill="auto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建设项目用地预审申请表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数据库表；PDF文档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844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</w:t>
            </w:r>
          </w:p>
        </w:tc>
        <w:tc>
          <w:tcPr>
            <w:tcW w:w="5024" w:type="dxa"/>
            <w:shd w:val="clear" w:color="auto" w:fill="auto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建设项目用地预审申请报告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PDF文档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844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</w:t>
            </w:r>
          </w:p>
        </w:tc>
        <w:tc>
          <w:tcPr>
            <w:tcW w:w="5024" w:type="dxa"/>
            <w:shd w:val="clear" w:color="auto" w:fill="auto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省级</w:t>
            </w:r>
            <w:r>
              <w:rPr>
                <w:rFonts w:hint="eastAsia" w:eastAsia="仿宋_GB2312"/>
                <w:sz w:val="30"/>
                <w:szCs w:val="30"/>
              </w:rPr>
              <w:t>自然</w:t>
            </w:r>
            <w:r>
              <w:rPr>
                <w:rFonts w:eastAsia="仿宋_GB2312"/>
                <w:sz w:val="30"/>
                <w:szCs w:val="30"/>
              </w:rPr>
              <w:t>资源主管部门初审意见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PDF文档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exact"/>
          <w:jc w:val="center"/>
        </w:trPr>
        <w:tc>
          <w:tcPr>
            <w:tcW w:w="844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4</w:t>
            </w:r>
          </w:p>
        </w:tc>
        <w:tc>
          <w:tcPr>
            <w:tcW w:w="5024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项目建设依据（项目列入相关规划文件</w:t>
            </w:r>
            <w:r>
              <w:rPr>
                <w:rFonts w:hint="eastAsia" w:eastAsia="仿宋_GB2312"/>
                <w:sz w:val="30"/>
                <w:szCs w:val="30"/>
              </w:rPr>
              <w:t>、</w:t>
            </w:r>
            <w:r>
              <w:rPr>
                <w:rFonts w:eastAsia="仿宋_GB2312"/>
                <w:sz w:val="30"/>
                <w:szCs w:val="30"/>
              </w:rPr>
              <w:t>项目建议书批复文件</w:t>
            </w:r>
            <w:r>
              <w:rPr>
                <w:rFonts w:hint="eastAsia" w:eastAsia="仿宋_GB2312"/>
                <w:sz w:val="30"/>
                <w:szCs w:val="30"/>
              </w:rPr>
              <w:t>等</w:t>
            </w:r>
            <w:r>
              <w:rPr>
                <w:rFonts w:eastAsia="仿宋_GB2312"/>
                <w:sz w:val="30"/>
                <w:szCs w:val="30"/>
              </w:rPr>
              <w:t>）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PDF文档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8" w:hRule="exact"/>
          <w:jc w:val="center"/>
        </w:trPr>
        <w:tc>
          <w:tcPr>
            <w:tcW w:w="844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5024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标注项目用地范围的土地利用总体规划图、土地利用现状图</w:t>
            </w:r>
            <w:r>
              <w:rPr>
                <w:rFonts w:hint="eastAsia" w:eastAsia="仿宋_GB2312"/>
                <w:sz w:val="30"/>
                <w:szCs w:val="30"/>
              </w:rPr>
              <w:t>、占用永久基本农田示意图（包含城市周边范围线）</w:t>
            </w:r>
            <w:r>
              <w:rPr>
                <w:rFonts w:eastAsia="仿宋_GB2312"/>
                <w:sz w:val="30"/>
                <w:szCs w:val="30"/>
              </w:rPr>
              <w:t>及其他相关图件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——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exact"/>
          <w:jc w:val="center"/>
        </w:trPr>
        <w:tc>
          <w:tcPr>
            <w:tcW w:w="844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</w:t>
            </w:r>
          </w:p>
        </w:tc>
        <w:tc>
          <w:tcPr>
            <w:tcW w:w="5024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土地利用总体规划修改方案</w:t>
            </w:r>
            <w:r>
              <w:rPr>
                <w:rFonts w:hint="eastAsia" w:eastAsia="仿宋_GB2312"/>
                <w:sz w:val="30"/>
                <w:szCs w:val="30"/>
              </w:rPr>
              <w:t>暨永久基本农田补划方案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PDF文档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exact"/>
          <w:jc w:val="center"/>
        </w:trPr>
        <w:tc>
          <w:tcPr>
            <w:tcW w:w="844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7</w:t>
            </w:r>
          </w:p>
        </w:tc>
        <w:tc>
          <w:tcPr>
            <w:tcW w:w="5024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项目用地边界拐点坐标表</w:t>
            </w:r>
            <w:r>
              <w:rPr>
                <w:rFonts w:hint="eastAsia" w:eastAsia="仿宋_GB2312"/>
                <w:sz w:val="30"/>
                <w:szCs w:val="30"/>
              </w:rPr>
              <w:t>、占用永久基本农田拐点坐标表、补划永久基本农田拐点坐标表</w:t>
            </w:r>
            <w:r>
              <w:rPr>
                <w:rFonts w:eastAsia="仿宋_GB2312"/>
                <w:sz w:val="30"/>
                <w:szCs w:val="30"/>
              </w:rPr>
              <w:t>（</w:t>
            </w:r>
            <w:r>
              <w:rPr>
                <w:rFonts w:hint="eastAsia" w:eastAsia="仿宋_GB2312"/>
                <w:sz w:val="30"/>
                <w:szCs w:val="30"/>
              </w:rPr>
              <w:t>2000</w:t>
            </w:r>
            <w:r>
              <w:rPr>
                <w:rFonts w:eastAsia="仿宋_GB2312"/>
                <w:sz w:val="30"/>
                <w:szCs w:val="30"/>
              </w:rPr>
              <w:t>国家大地坐标系）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数据库表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否</w:t>
            </w:r>
          </w:p>
        </w:tc>
      </w:tr>
    </w:tbl>
    <w:p>
      <w:pPr>
        <w:rPr>
          <w:rFonts w:hint="eastAsia" w:eastAsia="仿宋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B15B9"/>
    <w:rsid w:val="526B15B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Users/admin/AppData/Roaming/Kingsoft/wps/addons/pool/win-i386/knewfileruby_1.0.0.11/template/wps/0.docx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2018-08-03T07:38:00Z</dcterms:created>
  <dc:creator>侯一俊</dc:creator>
  <lastModifiedBy>侯一俊</lastModifiedBy>
  <dcterms:modified xsi:type="dcterms:W3CDTF">2018-08-03T07:39:29Z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