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增减挂钩节余指标跨省域调入</w:t>
      </w:r>
      <w:r>
        <w:rPr>
          <w:rFonts w:hint="eastAsia"/>
          <w:b/>
          <w:sz w:val="44"/>
          <w:szCs w:val="44"/>
        </w:rPr>
        <w:t>确认函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eastAsia="仿宋_GB2312"/>
          <w:spacing w:val="-10"/>
          <w:sz w:val="32"/>
          <w:szCs w:val="32"/>
        </w:rPr>
        <w:t>（格式文本）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自然资源部：</w:t>
      </w:r>
    </w:p>
    <w:p>
      <w:pPr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根据《自然资源部关于下达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年增减挂钩节余指标跨省域调剂任务的函》（自然资函</w:t>
      </w:r>
      <w:r>
        <w:rPr>
          <w:rFonts w:hint="eastAsia" w:eastAsia="仿宋_GB2312"/>
          <w:sz w:val="32"/>
          <w:szCs w:val="32"/>
          <w:u w:val="single"/>
        </w:rPr>
        <w:t>〔     〕   号</w:t>
      </w:r>
      <w:r>
        <w:rPr>
          <w:rFonts w:hint="eastAsia" w:eastAsia="仿宋_GB2312"/>
          <w:sz w:val="32"/>
          <w:szCs w:val="32"/>
        </w:rPr>
        <w:t>）明确的调剂任务，我省（市）确认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年完成调剂任务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万亩，其中占用农用地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万亩，占用耕地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万亩，增加规划建设用地规模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万亩；调剂资金总额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亿元。</w:t>
      </w:r>
    </w:p>
    <w:p>
      <w:pPr>
        <w:ind w:firstLine="630"/>
        <w:rPr>
          <w:rFonts w:hint="eastAsia" w:eastAsia="仿宋_GB2312"/>
          <w:sz w:val="32"/>
          <w:szCs w:val="32"/>
        </w:rPr>
      </w:pPr>
    </w:p>
    <w:p>
      <w:pPr>
        <w:ind w:firstLine="630"/>
        <w:rPr>
          <w:rFonts w:hint="eastAsia" w:eastAsia="仿宋_GB2312"/>
          <w:sz w:val="32"/>
          <w:szCs w:val="32"/>
        </w:rPr>
      </w:pPr>
    </w:p>
    <w:p>
      <w:pPr>
        <w:ind w:firstLine="5904" w:firstLineChars="1845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（签章）</w:t>
      </w:r>
    </w:p>
    <w:p>
      <w:pPr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年    月    日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96205"/>
    <w:rsid w:val="1D79620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2018-08-08T02:57:00Z</dcterms:created>
  <dc:creator>侯一俊</dc:creator>
  <cp:lastModifiedBy>侯一俊</cp:lastModifiedBy>
  <dcterms:modified xsi:type="dcterms:W3CDTF">2018-08-08T02:57:47Z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